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E2DA" w14:textId="76E535E8" w:rsidR="00CB7789" w:rsidRPr="00524EDF" w:rsidRDefault="00CB7789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p w14:paraId="23717AD8" w14:textId="77777777" w:rsidR="00F14407" w:rsidRDefault="00F14407">
      <w:pPr>
        <w:spacing w:before="173"/>
        <w:ind w:left="131"/>
        <w:rPr>
          <w:rFonts w:ascii="Trebuchet MS" w:hAnsi="Trebuchet MS" w:cs="Times New Roman"/>
          <w:w w:val="105"/>
          <w:sz w:val="24"/>
          <w:szCs w:val="24"/>
        </w:rPr>
      </w:pPr>
    </w:p>
    <w:p w14:paraId="53EFC8BA" w14:textId="77777777" w:rsidR="00BA07F0" w:rsidRPr="00524EDF" w:rsidRDefault="00BA07F0">
      <w:pPr>
        <w:spacing w:before="173"/>
        <w:ind w:left="131"/>
        <w:rPr>
          <w:rFonts w:ascii="Trebuchet MS" w:hAnsi="Trebuchet MS" w:cs="Times New Roman"/>
          <w:w w:val="105"/>
          <w:sz w:val="24"/>
          <w:szCs w:val="24"/>
        </w:rPr>
      </w:pPr>
    </w:p>
    <w:p w14:paraId="1705EB6E" w14:textId="2629A4D6" w:rsidR="007360F3" w:rsidRDefault="00BA07F0">
      <w:pPr>
        <w:pStyle w:val="BodyText"/>
        <w:spacing w:before="10"/>
        <w:ind w:left="0"/>
        <w:jc w:val="left"/>
        <w:rPr>
          <w:rFonts w:ascii="Trebuchet MS" w:hAnsi="Trebuchet MS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A5679B" wp14:editId="6E387819">
            <wp:extent cx="6762750" cy="1604645"/>
            <wp:effectExtent l="0" t="0" r="0" b="0"/>
            <wp:docPr id="191307817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78173" name="Picture 1" descr="A close-up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ECC72" w14:textId="77777777" w:rsidR="00BA07F0" w:rsidRDefault="00BA07F0">
      <w:pPr>
        <w:pStyle w:val="BodyText"/>
        <w:spacing w:before="10"/>
        <w:ind w:left="0"/>
        <w:jc w:val="left"/>
        <w:rPr>
          <w:rFonts w:ascii="Trebuchet MS" w:hAnsi="Trebuchet MS" w:cs="Times New Roman"/>
          <w:sz w:val="24"/>
          <w:szCs w:val="24"/>
        </w:rPr>
      </w:pPr>
    </w:p>
    <w:p w14:paraId="2DDBE1B1" w14:textId="77777777" w:rsidR="00BA07F0" w:rsidRDefault="00BA07F0">
      <w:pPr>
        <w:pStyle w:val="BodyText"/>
        <w:spacing w:before="10"/>
        <w:ind w:left="0"/>
        <w:jc w:val="left"/>
        <w:rPr>
          <w:rFonts w:ascii="Trebuchet MS" w:hAnsi="Trebuchet MS" w:cs="Times New Roman"/>
          <w:sz w:val="24"/>
          <w:szCs w:val="24"/>
        </w:rPr>
      </w:pPr>
    </w:p>
    <w:tbl>
      <w:tblPr>
        <w:tblStyle w:val="TableGrid"/>
        <w:tblW w:w="0" w:type="auto"/>
        <w:tblInd w:w="131" w:type="dxa"/>
        <w:tblLook w:val="04A0" w:firstRow="1" w:lastRow="0" w:firstColumn="1" w:lastColumn="0" w:noHBand="0" w:noVBand="1"/>
      </w:tblPr>
      <w:tblGrid>
        <w:gridCol w:w="10735"/>
      </w:tblGrid>
      <w:tr w:rsidR="00BA07F0" w:rsidRPr="00524EDF" w14:paraId="62CE7CC9" w14:textId="77777777" w:rsidTr="006565F5">
        <w:tc>
          <w:tcPr>
            <w:tcW w:w="10735" w:type="dxa"/>
          </w:tcPr>
          <w:p w14:paraId="60749BC2" w14:textId="77777777" w:rsidR="00BA07F0" w:rsidRDefault="00BA07F0" w:rsidP="006565F5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2821AE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  <w:highlight w:val="yellow"/>
              </w:rPr>
              <w:t>Trebuchet MS size:2</w:t>
            </w:r>
            <w:r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0</w:t>
            </w:r>
          </w:p>
          <w:p w14:paraId="74885B75" w14:textId="77777777" w:rsidR="00BA07F0" w:rsidRPr="006C0538" w:rsidRDefault="00BA07F0" w:rsidP="006565F5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Original</w:t>
            </w:r>
            <w:r w:rsidRPr="006C0538">
              <w:rPr>
                <w:rFonts w:ascii="Trebuchet MS" w:hAnsi="Trebuchet MS" w:cs="Times New Roman"/>
                <w:b/>
                <w:bCs/>
                <w:spacing w:val="19"/>
                <w:w w:val="105"/>
                <w:sz w:val="24"/>
                <w:szCs w:val="24"/>
              </w:rPr>
              <w:t xml:space="preserve"> </w:t>
            </w: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article</w:t>
            </w:r>
          </w:p>
          <w:p w14:paraId="2E298C9E" w14:textId="77777777" w:rsidR="00BA07F0" w:rsidRPr="00791199" w:rsidRDefault="00BA07F0" w:rsidP="006565F5">
            <w:pPr>
              <w:spacing w:before="140" w:line="261" w:lineRule="auto"/>
              <w:ind w:left="131" w:right="160"/>
              <w:jc w:val="center"/>
              <w:rPr>
                <w:rFonts w:ascii="Trebuchet MS" w:hAnsi="Trebuchet MS" w:cs="Times New Roman"/>
                <w:b/>
                <w:bCs/>
                <w:sz w:val="40"/>
                <w:szCs w:val="40"/>
              </w:rPr>
            </w:pPr>
            <w:r w:rsidRPr="00791199">
              <w:rPr>
                <w:rFonts w:ascii="Trebuchet MS" w:hAnsi="Trebuchet MS" w:cs="Times New Roman"/>
                <w:b/>
                <w:bCs/>
                <w:sz w:val="40"/>
                <w:szCs w:val="40"/>
              </w:rPr>
              <w:t>Enhancing Supply Chain Transparency and Efficiency through Blockchain Technology (20 size)</w:t>
            </w:r>
          </w:p>
          <w:p w14:paraId="0B045FA5" w14:textId="77777777" w:rsidR="00BA07F0" w:rsidRPr="009B645E" w:rsidRDefault="00BA07F0" w:rsidP="006565F5">
            <w:pPr>
              <w:spacing w:before="210"/>
              <w:ind w:left="131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  <w:r w:rsidRPr="009B645E">
              <w:rPr>
                <w:rFonts w:ascii="Trebuchet MS" w:hAnsi="Trebuchet MS" w:cs="Times New Roman"/>
                <w:w w:val="105"/>
                <w:sz w:val="20"/>
                <w:szCs w:val="20"/>
              </w:rPr>
              <w:t>Name (10 size)</w:t>
            </w:r>
          </w:p>
          <w:p w14:paraId="41D5F30A" w14:textId="77777777" w:rsidR="00BA07F0" w:rsidRPr="009B645E" w:rsidRDefault="00BA07F0" w:rsidP="006565F5">
            <w:pPr>
              <w:spacing w:before="172"/>
              <w:ind w:left="131"/>
              <w:jc w:val="center"/>
              <w:rPr>
                <w:rFonts w:ascii="Trebuchet MS" w:hAnsi="Trebuchet MS" w:cs="Times New Roman"/>
                <w:i/>
                <w:sz w:val="20"/>
                <w:szCs w:val="20"/>
              </w:rPr>
            </w:pPr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School</w:t>
            </w:r>
            <w:r w:rsidRPr="009B645E">
              <w:rPr>
                <w:rFonts w:ascii="Trebuchet MS" w:hAnsi="Trebuchet MS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of</w:t>
            </w:r>
            <w:r w:rsidRPr="009B645E">
              <w:rPr>
                <w:rFonts w:ascii="Trebuchet MS" w:hAnsi="Trebuchet MS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XYZ,</w:t>
            </w:r>
            <w:r w:rsidRPr="009B645E">
              <w:rPr>
                <w:rFonts w:ascii="Trebuchet MS" w:hAnsi="Trebuchet MS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University</w:t>
            </w:r>
            <w:r w:rsidRPr="009B645E">
              <w:rPr>
                <w:rFonts w:ascii="Trebuchet MS" w:hAnsi="Trebuchet MS" w:cs="Times New Roman"/>
                <w:i/>
                <w:spacing w:val="6"/>
                <w:sz w:val="20"/>
                <w:szCs w:val="20"/>
              </w:rPr>
              <w:t xml:space="preserve"> </w:t>
            </w:r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of</w:t>
            </w:r>
            <w:r w:rsidRPr="009B645E">
              <w:rPr>
                <w:rFonts w:ascii="Trebuchet MS" w:hAnsi="Trebuchet MS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XYZ,</w:t>
            </w:r>
            <w:r w:rsidRPr="009B645E">
              <w:rPr>
                <w:rFonts w:ascii="Trebuchet MS" w:hAnsi="Trebuchet MS" w:cs="Times New Roman"/>
                <w:i/>
                <w:spacing w:val="6"/>
                <w:sz w:val="20"/>
                <w:szCs w:val="20"/>
              </w:rPr>
              <w:t xml:space="preserve"> </w:t>
            </w:r>
            <w:proofErr w:type="gramStart"/>
            <w:r w:rsidRPr="009B645E">
              <w:rPr>
                <w:rFonts w:ascii="Trebuchet MS" w:hAnsi="Trebuchet MS" w:cs="Times New Roman"/>
                <w:i/>
                <w:sz w:val="20"/>
                <w:szCs w:val="20"/>
              </w:rPr>
              <w:t>Place ,India</w:t>
            </w:r>
            <w:proofErr w:type="gramEnd"/>
          </w:p>
          <w:p w14:paraId="47D9A604" w14:textId="77777777" w:rsidR="00BA07F0" w:rsidRPr="009B645E" w:rsidRDefault="00BA07F0" w:rsidP="006565F5">
            <w:pPr>
              <w:spacing w:before="173"/>
              <w:jc w:val="center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  <w:r w:rsidRPr="009B645E">
              <w:rPr>
                <w:rFonts w:ascii="Trebuchet MS" w:hAnsi="Trebuchet MS" w:cs="Times New Roman"/>
                <w:w w:val="105"/>
                <w:sz w:val="20"/>
                <w:szCs w:val="20"/>
              </w:rPr>
              <w:t>E-mail address: 20220931109@bucm.edu.cn.</w:t>
            </w:r>
          </w:p>
          <w:p w14:paraId="03C2CA10" w14:textId="77777777" w:rsidR="00BA07F0" w:rsidRPr="00524EDF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BA07F0" w:rsidRPr="00524EDF" w14:paraId="61528F7D" w14:textId="77777777" w:rsidTr="006565F5">
        <w:tc>
          <w:tcPr>
            <w:tcW w:w="10735" w:type="dxa"/>
          </w:tcPr>
          <w:p w14:paraId="269614F8" w14:textId="77777777" w:rsidR="00BA07F0" w:rsidRDefault="00BA07F0" w:rsidP="006565F5">
            <w:pPr>
              <w:pBdr>
                <w:bottom w:val="single" w:sz="6" w:space="1" w:color="auto"/>
              </w:pBdr>
              <w:jc w:val="both"/>
              <w:rPr>
                <w:rFonts w:ascii="Trebuchet MS" w:hAnsi="Trebuchet MS" w:cs="Times New Roman"/>
                <w:b/>
                <w:color w:val="000000" w:themeColor="text1"/>
                <w:sz w:val="16"/>
                <w:szCs w:val="16"/>
              </w:rPr>
            </w:pPr>
            <w:r w:rsidRPr="00AA7625">
              <w:rPr>
                <w:rFonts w:ascii="Trebuchet MS" w:hAnsi="Trebuchet MS" w:cs="Times New Roman"/>
                <w:b/>
                <w:color w:val="000000" w:themeColor="text1"/>
                <w:sz w:val="16"/>
                <w:szCs w:val="16"/>
              </w:rPr>
              <w:t xml:space="preserve">Available online: </w:t>
            </w:r>
            <w:r>
              <w:rPr>
                <w:rFonts w:ascii="Trebuchet MS" w:hAnsi="Trebuchet MS" w:cs="Times New Roman"/>
                <w:b/>
                <w:color w:val="000000" w:themeColor="text1"/>
                <w:sz w:val="16"/>
                <w:szCs w:val="16"/>
              </w:rPr>
              <w:t>May</w:t>
            </w:r>
            <w:r w:rsidRPr="00AA7625">
              <w:rPr>
                <w:rFonts w:ascii="Trebuchet MS" w:hAnsi="Trebuchet MS" w:cs="Times New Roman"/>
                <w:b/>
                <w:color w:val="000000" w:themeColor="text1"/>
                <w:sz w:val="16"/>
                <w:szCs w:val="16"/>
              </w:rPr>
              <w:t xml:space="preserve"> 2025</w:t>
            </w:r>
          </w:p>
          <w:p w14:paraId="66AF41C9" w14:textId="77777777" w:rsidR="00BA07F0" w:rsidRPr="001616C3" w:rsidRDefault="00BA07F0" w:rsidP="006565F5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  <w:highlight w:val="yellow"/>
              </w:rPr>
              <w:t>Trebuchet MS size:</w:t>
            </w:r>
            <w:r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  <w:t>8</w:t>
            </w:r>
          </w:p>
          <w:p w14:paraId="6C7BB819" w14:textId="77777777" w:rsidR="00BA07F0" w:rsidRPr="00524EDF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BA07F0" w:rsidRPr="00524EDF" w14:paraId="2754D349" w14:textId="77777777" w:rsidTr="006565F5">
        <w:tc>
          <w:tcPr>
            <w:tcW w:w="10735" w:type="dxa"/>
          </w:tcPr>
          <w:p w14:paraId="3757AAB8" w14:textId="77777777" w:rsidR="00BA07F0" w:rsidRPr="009B645E" w:rsidRDefault="00BA07F0" w:rsidP="006565F5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  <w:r w:rsidRPr="009B645E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  <w:highlight w:val="yellow"/>
              </w:rPr>
              <w:t>Trebuchet MS size:</w:t>
            </w:r>
            <w:r w:rsidRPr="009B645E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8</w:t>
            </w:r>
          </w:p>
          <w:p w14:paraId="393D156F" w14:textId="77777777" w:rsidR="00BA07F0" w:rsidRPr="009B645E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</w:p>
          <w:p w14:paraId="776C0CD3" w14:textId="77777777" w:rsidR="00BA07F0" w:rsidRPr="009B645E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  <w:proofErr w:type="gramStart"/>
            <w:r w:rsidRPr="009B645E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Abstract:</w:t>
            </w:r>
            <w:r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[</w:t>
            </w:r>
            <w:proofErr w:type="gramEnd"/>
            <w:r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200 to 250 words]</w:t>
            </w:r>
          </w:p>
          <w:p w14:paraId="07350220" w14:textId="77777777" w:rsidR="00BA07F0" w:rsidRPr="009B645E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16"/>
                <w:szCs w:val="16"/>
              </w:rPr>
            </w:pPr>
            <w:r w:rsidRPr="009B645E">
              <w:rPr>
                <w:rFonts w:ascii="Trebuchet MS" w:hAnsi="Trebuchet MS" w:cs="Times New Roman"/>
                <w:w w:val="105"/>
                <w:sz w:val="16"/>
                <w:szCs w:val="16"/>
              </w:rPr>
              <w:t>The International Journal of System Design and Information Processing aims to facilitate the advancement of system design, development, and management across various engineering disciplines.</w:t>
            </w:r>
          </w:p>
          <w:p w14:paraId="179F48B0" w14:textId="77777777" w:rsidR="00BA07F0" w:rsidRPr="009B645E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  <w:proofErr w:type="gramStart"/>
            <w:r w:rsidRPr="009B645E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Keywords:</w:t>
            </w:r>
            <w:r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[</w:t>
            </w:r>
            <w:proofErr w:type="gramEnd"/>
            <w:r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 xml:space="preserve"> 3 to 5]</w:t>
            </w:r>
          </w:p>
          <w:p w14:paraId="54B45137" w14:textId="77777777" w:rsidR="00BA07F0" w:rsidRPr="009B645E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16"/>
                <w:szCs w:val="16"/>
              </w:rPr>
            </w:pPr>
          </w:p>
          <w:p w14:paraId="249C9D8C" w14:textId="77777777" w:rsidR="00BA07F0" w:rsidRPr="00524EDF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BA07F0" w:rsidRPr="001616C3" w14:paraId="496D2781" w14:textId="77777777" w:rsidTr="006565F5">
        <w:tc>
          <w:tcPr>
            <w:tcW w:w="10735" w:type="dxa"/>
          </w:tcPr>
          <w:p w14:paraId="7C3A5FAC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6675469D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  <w:p w14:paraId="3C22DC10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Introduction:</w:t>
            </w:r>
          </w:p>
          <w:p w14:paraId="2061224A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BA07F0" w:rsidRPr="001616C3" w14:paraId="6BF6372C" w14:textId="77777777" w:rsidTr="006565F5">
        <w:tc>
          <w:tcPr>
            <w:tcW w:w="10735" w:type="dxa"/>
          </w:tcPr>
          <w:p w14:paraId="7B9169A9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lastRenderedPageBreak/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148F6485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Material and methods:</w:t>
            </w:r>
          </w:p>
          <w:p w14:paraId="5C0FF9FD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</w:tc>
      </w:tr>
      <w:tr w:rsidR="00BA07F0" w:rsidRPr="001616C3" w14:paraId="57AD8FDB" w14:textId="77777777" w:rsidTr="006565F5">
        <w:tc>
          <w:tcPr>
            <w:tcW w:w="10735" w:type="dxa"/>
          </w:tcPr>
          <w:p w14:paraId="5FAF9223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6D862BFE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Results:</w:t>
            </w:r>
          </w:p>
          <w:p w14:paraId="4F52A2F6" w14:textId="77777777" w:rsidR="00BA07F0" w:rsidRPr="00335E19" w:rsidRDefault="00BA07F0" w:rsidP="006565F5">
            <w:pPr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335E19">
              <w:rPr>
                <w:rFonts w:ascii="Trebuchet MS" w:hAnsi="Trebuchet MS" w:cs="Calibri"/>
                <w:b/>
                <w:bCs/>
                <w:sz w:val="20"/>
                <w:szCs w:val="20"/>
              </w:rPr>
              <w:t>Table 1: Common QA Metrics and Their Impacts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4180"/>
              <w:gridCol w:w="4712"/>
            </w:tblGrid>
            <w:tr w:rsidR="00BA07F0" w:rsidRPr="00335E19" w14:paraId="70C328AD" w14:textId="77777777" w:rsidTr="006565F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42A297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QA Metric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451ED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Impact on Defect Prediction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7A71F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Risk Management Considerations</w:t>
                  </w:r>
                </w:p>
              </w:tc>
            </w:tr>
            <w:tr w:rsidR="00BA07F0" w:rsidRPr="00335E19" w14:paraId="663091CD" w14:textId="77777777" w:rsidTr="006565F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09FC5B94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Code Complexity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3151F171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High complexity correlates with increased defects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2FA84A21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Prioritize testing in high-complexity areas</w:t>
                  </w:r>
                </w:p>
              </w:tc>
            </w:tr>
            <w:tr w:rsidR="00BA07F0" w:rsidRPr="00335E19" w14:paraId="798AC0A4" w14:textId="77777777" w:rsidTr="00656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56600D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Code Churn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FD938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Frequent changes increase defect likelihood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D14FB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Focus testing on frequently modified modules</w:t>
                  </w:r>
                </w:p>
              </w:tc>
            </w:tr>
            <w:tr w:rsidR="00BA07F0" w:rsidRPr="00335E19" w14:paraId="7EFBEB28" w14:textId="77777777" w:rsidTr="00656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0D3D27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Developer Activity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FD876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New/unfamiliar developers introduce more defects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4FF1CB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Assess team experience and its impact on defect rates</w:t>
                  </w:r>
                </w:p>
              </w:tc>
            </w:tr>
            <w:tr w:rsidR="00BA07F0" w:rsidRPr="00335E19" w14:paraId="3B0C4049" w14:textId="77777777" w:rsidTr="006565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96BD3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Test Coverage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A2EBB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Low coverage leads to undetected defects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F94CC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Ensure thorough testing of high-risk areas</w:t>
                  </w:r>
                </w:p>
              </w:tc>
            </w:tr>
            <w:tr w:rsidR="00BA07F0" w:rsidRPr="00335E19" w14:paraId="21699F87" w14:textId="77777777" w:rsidTr="006565F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bottom w:val="single" w:sz="4" w:space="0" w:color="auto"/>
                  </w:tcBorders>
                  <w:vAlign w:val="center"/>
                  <w:hideMark/>
                </w:tcPr>
                <w:p w14:paraId="600AF2C1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Defect History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auto"/>
                  </w:tcBorders>
                  <w:vAlign w:val="center"/>
                  <w:hideMark/>
                </w:tcPr>
                <w:p w14:paraId="1F0FC5D5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Past defects predict future issues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4" w:space="0" w:color="auto"/>
                  </w:tcBorders>
                  <w:vAlign w:val="center"/>
                  <w:hideMark/>
                </w:tcPr>
                <w:p w14:paraId="3B254F8D" w14:textId="77777777" w:rsidR="00BA07F0" w:rsidRPr="00335E19" w:rsidRDefault="00BA07F0" w:rsidP="006565F5">
                  <w:pPr>
                    <w:rPr>
                      <w:rFonts w:ascii="Trebuchet MS" w:hAnsi="Trebuchet MS" w:cs="Calibri"/>
                      <w:sz w:val="20"/>
                      <w:szCs w:val="20"/>
                    </w:rPr>
                  </w:pPr>
                  <w:r w:rsidRPr="00335E19">
                    <w:rPr>
                      <w:rFonts w:ascii="Trebuchet MS" w:hAnsi="Trebuchet MS" w:cs="Calibri"/>
                      <w:sz w:val="20"/>
                      <w:szCs w:val="20"/>
                    </w:rPr>
                    <w:t>Allocate additional resources to historically weak modules</w:t>
                  </w:r>
                </w:p>
              </w:tc>
            </w:tr>
          </w:tbl>
          <w:p w14:paraId="6C19C692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  <w:p w14:paraId="33E3C8A6" w14:textId="77777777" w:rsidR="00BA07F0" w:rsidRDefault="00BA07F0" w:rsidP="006565F5">
            <w:pPr>
              <w:spacing w:before="173"/>
              <w:jc w:val="center"/>
              <w:rPr>
                <w:rFonts w:ascii="Trebuchet MS" w:hAnsi="Trebuchet MS" w:cs="Times New Roman"/>
                <w:w w:val="105"/>
                <w:sz w:val="20"/>
                <w:szCs w:val="20"/>
                <w:lang w:val="en-IN"/>
              </w:rPr>
            </w:pPr>
            <w:r w:rsidRPr="009B645E">
              <w:rPr>
                <w:rFonts w:ascii="Trebuchet MS" w:hAnsi="Trebuchet MS" w:cs="Times New Roman"/>
                <w:w w:val="105"/>
                <w:sz w:val="20"/>
                <w:szCs w:val="20"/>
                <w:lang w:val="en-IN"/>
              </w:rPr>
              <w:drawing>
                <wp:inline distT="0" distB="0" distL="0" distR="0" wp14:anchorId="333CDE30" wp14:editId="75DCF050">
                  <wp:extent cx="1526900" cy="1568450"/>
                  <wp:effectExtent l="0" t="0" r="0" b="0"/>
                  <wp:docPr id="352134297" name="Picture 2" descr="A palm tree with green leav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34297" name="Picture 2" descr="A palm tree with green leav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14" cy="157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55AA7" w14:textId="77777777" w:rsidR="00BA07F0" w:rsidRPr="009B645E" w:rsidRDefault="00BA07F0" w:rsidP="006565F5">
            <w:pPr>
              <w:spacing w:before="173"/>
              <w:jc w:val="center"/>
              <w:rPr>
                <w:rFonts w:ascii="Trebuchet MS" w:hAnsi="Trebuchet MS" w:cs="Times New Roman"/>
                <w:w w:val="105"/>
                <w:sz w:val="20"/>
                <w:szCs w:val="20"/>
                <w:lang w:val="en-IN"/>
              </w:rPr>
            </w:pPr>
            <w:r>
              <w:rPr>
                <w:rFonts w:ascii="Trebuchet MS" w:hAnsi="Trebuchet MS" w:cs="Times New Roman"/>
                <w:w w:val="105"/>
                <w:sz w:val="20"/>
                <w:szCs w:val="20"/>
                <w:lang w:val="en-IN"/>
              </w:rPr>
              <w:t>Fig 1.1 Design logo</w:t>
            </w:r>
          </w:p>
          <w:p w14:paraId="30C3840C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BA07F0" w:rsidRPr="001616C3" w14:paraId="23459E91" w14:textId="77777777" w:rsidTr="006565F5">
        <w:tc>
          <w:tcPr>
            <w:tcW w:w="10735" w:type="dxa"/>
          </w:tcPr>
          <w:p w14:paraId="3874BA0C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71123101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Discussion:</w:t>
            </w:r>
          </w:p>
          <w:p w14:paraId="61EEDA9D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BA07F0" w:rsidRPr="001616C3" w14:paraId="7268F99B" w14:textId="77777777" w:rsidTr="006565F5">
        <w:tc>
          <w:tcPr>
            <w:tcW w:w="10735" w:type="dxa"/>
          </w:tcPr>
          <w:p w14:paraId="40E0D8DF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0CECC5B2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Conclusions:</w:t>
            </w:r>
          </w:p>
        </w:tc>
      </w:tr>
      <w:tr w:rsidR="00BA07F0" w:rsidRPr="001616C3" w14:paraId="32CC23D4" w14:textId="77777777" w:rsidTr="006565F5">
        <w:tc>
          <w:tcPr>
            <w:tcW w:w="10735" w:type="dxa"/>
          </w:tcPr>
          <w:p w14:paraId="403C9523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6F3233DB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Declaration of Competing Interest:</w:t>
            </w:r>
          </w:p>
          <w:p w14:paraId="73FC5815" w14:textId="77777777" w:rsidR="00BA07F0" w:rsidRPr="001616C3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The authors declare that they have no known competing financial interests or personal relationships that could have appeared to </w:t>
            </w:r>
            <w:proofErr w:type="gramStart"/>
            <w:r w:rsidRPr="001616C3">
              <w:rPr>
                <w:rFonts w:ascii="Trebuchet MS" w:hAnsi="Trebuchet MS" w:cs="Times New Roman"/>
                <w:w w:val="105"/>
                <w:sz w:val="20"/>
                <w:szCs w:val="20"/>
              </w:rPr>
              <w:t>influence  the</w:t>
            </w:r>
            <w:proofErr w:type="gramEnd"/>
            <w:r w:rsidRPr="001616C3">
              <w:rPr>
                <w:rFonts w:ascii="Trebuchet MS" w:hAnsi="Trebuchet MS" w:cs="Times New Roman"/>
                <w:w w:val="105"/>
                <w:sz w:val="20"/>
                <w:szCs w:val="20"/>
              </w:rPr>
              <w:t xml:space="preserve"> work reported in this paper</w:t>
            </w:r>
          </w:p>
        </w:tc>
      </w:tr>
      <w:tr w:rsidR="00BA07F0" w:rsidRPr="006C0538" w14:paraId="12C53988" w14:textId="77777777" w:rsidTr="006565F5">
        <w:tc>
          <w:tcPr>
            <w:tcW w:w="10735" w:type="dxa"/>
          </w:tcPr>
          <w:p w14:paraId="5C873BC7" w14:textId="77777777" w:rsidR="00BA07F0" w:rsidRPr="001616C3" w:rsidRDefault="00BA07F0" w:rsidP="006565F5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  <w:highlight w:val="yellow"/>
              </w:rPr>
              <w:t>Trebuchet MS size: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8</w:t>
            </w:r>
          </w:p>
          <w:p w14:paraId="4B0D313C" w14:textId="77777777" w:rsidR="00BA07F0" w:rsidRPr="001616C3" w:rsidRDefault="00BA07F0" w:rsidP="006565F5">
            <w:pPr>
              <w:pStyle w:val="Heading1"/>
              <w:ind w:left="131" w:firstLine="0"/>
              <w:rPr>
                <w:rFonts w:ascii="Trebuchet MS" w:hAnsi="Trebuchet MS" w:cs="Times New Roman"/>
              </w:rPr>
            </w:pPr>
          </w:p>
          <w:p w14:paraId="5426B2DF" w14:textId="77777777" w:rsidR="00BA07F0" w:rsidRPr="001616C3" w:rsidRDefault="00BA07F0" w:rsidP="006565F5">
            <w:pPr>
              <w:pStyle w:val="Heading1"/>
              <w:ind w:left="131" w:firstLine="0"/>
              <w:rPr>
                <w:rFonts w:ascii="Trebuchet MS" w:hAnsi="Trebuchet MS" w:cs="Times New Roman"/>
              </w:rPr>
            </w:pPr>
            <w:r w:rsidRPr="001616C3">
              <w:rPr>
                <w:rFonts w:ascii="Trebuchet MS" w:hAnsi="Trebuchet MS" w:cs="Times New Roman"/>
              </w:rPr>
              <w:t>References</w:t>
            </w:r>
          </w:p>
          <w:p w14:paraId="6BA8FA50" w14:textId="77777777" w:rsidR="00BA07F0" w:rsidRPr="001616C3" w:rsidRDefault="00BA07F0" w:rsidP="006565F5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17" w:line="273" w:lineRule="auto"/>
              <w:ind w:right="78"/>
              <w:rPr>
                <w:rFonts w:ascii="Trebuchet MS" w:hAnsi="Trebuchet MS" w:cs="Times New Roman"/>
                <w:sz w:val="16"/>
                <w:szCs w:val="16"/>
              </w:rPr>
            </w:pPr>
            <w:hyperlink r:id="rId9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 xml:space="preserve">F. Tian, B. Zheng, R. Zhang, S. Mu, H. Wang, Blockchain-based shared audit service for supply chains, Procedia </w:t>
              </w:r>
              <w:proofErr w:type="spellStart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Comput</w:t>
              </w:r>
              <w:proofErr w:type="spellEnd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. Sci. 159 (2019) 305–311</w:t>
              </w:r>
              <w:r w:rsidRPr="001616C3">
                <w:rPr>
                  <w:rStyle w:val="Hyperlink"/>
                  <w:rFonts w:ascii="Trebuchet MS" w:hAnsi="Trebuchet MS" w:cs="Times New Roman"/>
                  <w:color w:val="auto"/>
                  <w:w w:val="115"/>
                  <w:sz w:val="16"/>
                  <w:szCs w:val="16"/>
                  <w:u w:val="none"/>
                </w:rPr>
                <w:t>.</w:t>
              </w:r>
            </w:hyperlink>
          </w:p>
          <w:p w14:paraId="4C97BF14" w14:textId="77777777" w:rsidR="00BA07F0" w:rsidRPr="001616C3" w:rsidRDefault="00BA07F0" w:rsidP="006565F5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71" w:lineRule="auto"/>
              <w:ind w:right="78"/>
              <w:rPr>
                <w:rFonts w:ascii="Trebuchet MS" w:hAnsi="Trebuchet MS" w:cs="Times New Roman"/>
                <w:sz w:val="16"/>
                <w:szCs w:val="16"/>
              </w:rPr>
            </w:pPr>
            <w:hyperlink r:id="rId10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M. Wüst, A. Gervais, Do you need a Blockchain? 2018 Crypto Valley Conf. Blockchain Technol. (2018) 45–54.</w:t>
              </w:r>
            </w:hyperlink>
            <w:r w:rsidRPr="001616C3"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</w:p>
          <w:p w14:paraId="748A5162" w14:textId="77777777" w:rsidR="00BA07F0" w:rsidRPr="001616C3" w:rsidRDefault="00BA07F0" w:rsidP="006565F5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71" w:lineRule="auto"/>
              <w:ind w:right="78"/>
              <w:rPr>
                <w:rFonts w:ascii="Trebuchet MS" w:hAnsi="Trebuchet MS" w:cs="Times New Roman"/>
                <w:sz w:val="16"/>
                <w:szCs w:val="16"/>
              </w:rPr>
            </w:pPr>
            <w:hyperlink r:id="rId11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S. Kim, A. Laskowski, Toward an evolutionary framework of trust in blockchain-based supply chains, Sustain. 13 (2021) 1–14.</w:t>
              </w:r>
            </w:hyperlink>
          </w:p>
          <w:p w14:paraId="796104C0" w14:textId="77777777" w:rsidR="00BA07F0" w:rsidRPr="001616C3" w:rsidRDefault="00BA07F0" w:rsidP="006565F5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1" w:line="261" w:lineRule="auto"/>
              <w:ind w:right="284"/>
              <w:rPr>
                <w:rFonts w:ascii="Trebuchet MS" w:hAnsi="Trebuchet MS" w:cs="Times New Roman"/>
                <w:sz w:val="16"/>
                <w:szCs w:val="16"/>
              </w:rPr>
            </w:pPr>
            <w:hyperlink r:id="rId12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 xml:space="preserve">H. </w:t>
              </w:r>
              <w:proofErr w:type="spellStart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Treiblmaier</w:t>
              </w:r>
              <w:proofErr w:type="spellEnd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 xml:space="preserve">, B. Röck, E. </w:t>
              </w:r>
              <w:proofErr w:type="spellStart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Kozhakhmetova</w:t>
              </w:r>
              <w:proofErr w:type="spellEnd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 xml:space="preserve">, The impact of blockchain on e-commerce: A framework for online retailing, J. Retail. </w:t>
              </w:r>
              <w:proofErr w:type="spellStart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Consum</w:t>
              </w:r>
              <w:proofErr w:type="spellEnd"/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. Serv. 52 (2020) 101895.</w:t>
              </w:r>
            </w:hyperlink>
          </w:p>
          <w:p w14:paraId="1A00262D" w14:textId="77777777" w:rsidR="00BA07F0" w:rsidRPr="006C0538" w:rsidRDefault="00BA07F0" w:rsidP="006565F5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</w:tbl>
    <w:p w14:paraId="0563CB22" w14:textId="77777777" w:rsidR="00BA07F0" w:rsidRPr="00524EDF" w:rsidRDefault="00BA07F0">
      <w:pPr>
        <w:pStyle w:val="BodyText"/>
        <w:spacing w:before="10"/>
        <w:ind w:left="0"/>
        <w:jc w:val="left"/>
        <w:rPr>
          <w:rFonts w:ascii="Trebuchet MS" w:hAnsi="Trebuchet MS" w:cs="Times New Roman"/>
          <w:sz w:val="24"/>
          <w:szCs w:val="24"/>
        </w:rPr>
      </w:pPr>
    </w:p>
    <w:sectPr w:rsidR="00BA07F0" w:rsidRPr="00524EDF" w:rsidSect="00F14407">
      <w:headerReference w:type="default" r:id="rId13"/>
      <w:footerReference w:type="default" r:id="rId14"/>
      <w:pgSz w:w="11910" w:h="15880"/>
      <w:pgMar w:top="880" w:right="640" w:bottom="780" w:left="620" w:header="673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BEBF" w14:textId="77777777" w:rsidR="00BC2ED6" w:rsidRDefault="00BC2ED6">
      <w:r>
        <w:separator/>
      </w:r>
    </w:p>
  </w:endnote>
  <w:endnote w:type="continuationSeparator" w:id="0">
    <w:p w14:paraId="6E228783" w14:textId="77777777" w:rsidR="00BC2ED6" w:rsidRDefault="00BC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2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B228E" w14:textId="17A647B1" w:rsidR="00BB372A" w:rsidRDefault="00BB372A">
        <w:pPr>
          <w:pStyle w:val="Footer"/>
          <w:jc w:val="center"/>
        </w:pPr>
        <w:r w:rsidRPr="00BA07F0">
          <w:rPr>
            <w:rFonts w:ascii="Trebuchet MS" w:hAnsi="Trebuchet MS"/>
            <w:b/>
            <w:bCs/>
            <w:color w:val="0070C0"/>
          </w:rPr>
          <w:fldChar w:fldCharType="begin"/>
        </w:r>
        <w:r w:rsidRPr="00BA07F0">
          <w:rPr>
            <w:rFonts w:ascii="Trebuchet MS" w:hAnsi="Trebuchet MS"/>
            <w:b/>
            <w:bCs/>
            <w:color w:val="0070C0"/>
          </w:rPr>
          <w:instrText xml:space="preserve"> PAGE   \* MERGEFORMAT </w:instrText>
        </w:r>
        <w:r w:rsidRPr="00BA07F0">
          <w:rPr>
            <w:rFonts w:ascii="Trebuchet MS" w:hAnsi="Trebuchet MS"/>
            <w:b/>
            <w:bCs/>
            <w:color w:val="0070C0"/>
          </w:rPr>
          <w:fldChar w:fldCharType="separate"/>
        </w:r>
        <w:r w:rsidRPr="00BA07F0">
          <w:rPr>
            <w:rFonts w:ascii="Trebuchet MS" w:hAnsi="Trebuchet MS"/>
            <w:b/>
            <w:bCs/>
            <w:noProof/>
            <w:color w:val="0070C0"/>
          </w:rPr>
          <w:t>2</w:t>
        </w:r>
        <w:r w:rsidRPr="00BA07F0">
          <w:rPr>
            <w:rFonts w:ascii="Trebuchet MS" w:hAnsi="Trebuchet MS"/>
            <w:b/>
            <w:bCs/>
            <w:noProof/>
            <w:color w:val="0070C0"/>
          </w:rPr>
          <w:fldChar w:fldCharType="end"/>
        </w:r>
      </w:p>
    </w:sdtContent>
  </w:sdt>
  <w:p w14:paraId="714B30E5" w14:textId="0B79DC0A" w:rsidR="007360F3" w:rsidRPr="008127D9" w:rsidRDefault="007360F3" w:rsidP="008127D9">
    <w:pPr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7DCA" w14:textId="77777777" w:rsidR="00BC2ED6" w:rsidRDefault="00BC2ED6">
      <w:r>
        <w:separator/>
      </w:r>
    </w:p>
  </w:footnote>
  <w:footnote w:type="continuationSeparator" w:id="0">
    <w:p w14:paraId="42F40BD3" w14:textId="77777777" w:rsidR="00BC2ED6" w:rsidRDefault="00BC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007E" w14:textId="772A5268" w:rsidR="009B645E" w:rsidRPr="009F6778" w:rsidRDefault="009B645E" w:rsidP="00F14407">
    <w:pPr>
      <w:pStyle w:val="Header"/>
      <w:jc w:val="right"/>
      <w:rPr>
        <w:rFonts w:ascii="Trebuchet MS" w:hAnsi="Trebuchet MS" w:cs="Times New Roman"/>
        <w:b/>
        <w:bCs/>
        <w:color w:val="0070C0"/>
        <w:sz w:val="20"/>
        <w:szCs w:val="20"/>
      </w:rPr>
    </w:pPr>
    <w:bookmarkStart w:id="0" w:name="_Hlk179832871"/>
    <w:bookmarkStart w:id="1" w:name="_Hlk179832872"/>
    <w:bookmarkStart w:id="2" w:name="_Hlk179832889"/>
    <w:bookmarkStart w:id="3" w:name="_Hlk179832890"/>
    <w:bookmarkStart w:id="4" w:name="_Hlk179832902"/>
    <w:bookmarkStart w:id="5" w:name="_Hlk179832903"/>
    <w:bookmarkStart w:id="6" w:name="_Hlk179832910"/>
    <w:bookmarkStart w:id="7" w:name="_Hlk179832911"/>
    <w:bookmarkStart w:id="8" w:name="_Hlk179832919"/>
    <w:bookmarkStart w:id="9" w:name="_Hlk179832920"/>
    <w:bookmarkStart w:id="10" w:name="_Hlk179832931"/>
    <w:bookmarkStart w:id="11" w:name="_Hlk179832932"/>
    <w:bookmarkStart w:id="12" w:name="_Hlk179832939"/>
    <w:bookmarkStart w:id="13" w:name="_Hlk179832940"/>
    <w:bookmarkStart w:id="14" w:name="_Hlk179832947"/>
    <w:bookmarkStart w:id="15" w:name="_Hlk179832948"/>
    <w:bookmarkStart w:id="16" w:name="_Hlk179832956"/>
    <w:bookmarkStart w:id="17" w:name="_Hlk179832957"/>
    <w:bookmarkStart w:id="18" w:name="_Hlk179832970"/>
    <w:bookmarkStart w:id="19" w:name="_Hlk179832971"/>
    <w:bookmarkStart w:id="20" w:name="_Hlk179832979"/>
    <w:bookmarkStart w:id="21" w:name="_Hlk179832980"/>
    <w:bookmarkStart w:id="22" w:name="_Hlk179832987"/>
    <w:bookmarkStart w:id="23" w:name="_Hlk179832988"/>
    <w:r w:rsidRPr="009F6778">
      <w:rPr>
        <w:rFonts w:ascii="Trebuchet MS" w:hAnsi="Trebuchet MS" w:cs="Times New Roman"/>
        <w:b/>
        <w:bCs/>
        <w:color w:val="0070C0"/>
        <w:sz w:val="20"/>
        <w:szCs w:val="20"/>
      </w:rPr>
      <w:t>I</w:t>
    </w:r>
    <w:r w:rsidRPr="009F6778">
      <w:rPr>
        <w:rFonts w:ascii="Trebuchet MS" w:hAnsi="Trebuchet MS" w:cs="Times New Roman"/>
        <w:b/>
        <w:bCs/>
        <w:color w:val="0070C0"/>
        <w:sz w:val="20"/>
        <w:szCs w:val="20"/>
      </w:rPr>
      <w:t>nternational Journal of System Design and Information Processing</w:t>
    </w:r>
  </w:p>
  <w:p w14:paraId="76E73D59" w14:textId="3737DC89" w:rsidR="007360F3" w:rsidRPr="009F6778" w:rsidRDefault="00F14407" w:rsidP="00F14407">
    <w:pPr>
      <w:pStyle w:val="Header"/>
      <w:jc w:val="right"/>
      <w:rPr>
        <w:rFonts w:ascii="Trebuchet MS" w:hAnsi="Trebuchet MS"/>
        <w:color w:val="0070C0"/>
        <w:sz w:val="20"/>
        <w:szCs w:val="20"/>
      </w:rPr>
    </w:pPr>
    <w:r w:rsidRPr="009F6778">
      <w:rPr>
        <w:rFonts w:ascii="Trebuchet MS" w:hAnsi="Trebuchet MS" w:cs="Times New Roman"/>
        <w:b/>
        <w:color w:val="0070C0"/>
        <w:sz w:val="20"/>
        <w:szCs w:val="20"/>
      </w:rPr>
      <w:t>20</w:t>
    </w:r>
    <w:r w:rsidR="00D03FA6" w:rsidRPr="009F6778">
      <w:rPr>
        <w:rFonts w:ascii="Trebuchet MS" w:hAnsi="Trebuchet MS" w:cs="Times New Roman"/>
        <w:b/>
        <w:color w:val="0070C0"/>
        <w:sz w:val="20"/>
        <w:szCs w:val="20"/>
      </w:rPr>
      <w:t>2</w:t>
    </w:r>
    <w:r w:rsidR="00F2111D" w:rsidRPr="009F6778">
      <w:rPr>
        <w:rFonts w:ascii="Trebuchet MS" w:hAnsi="Trebuchet MS" w:cs="Times New Roman"/>
        <w:b/>
        <w:color w:val="0070C0"/>
        <w:sz w:val="20"/>
        <w:szCs w:val="20"/>
      </w:rPr>
      <w:t>5</w:t>
    </w:r>
    <w:r w:rsidRPr="009F6778">
      <w:rPr>
        <w:rFonts w:ascii="Trebuchet MS" w:hAnsi="Trebuchet MS" w:cs="Times New Roman"/>
        <w:b/>
        <w:color w:val="0070C0"/>
        <w:sz w:val="20"/>
        <w:szCs w:val="20"/>
      </w:rPr>
      <w:t>; Volume -1</w:t>
    </w:r>
    <w:r w:rsidR="009B645E" w:rsidRPr="009F6778">
      <w:rPr>
        <w:rFonts w:ascii="Trebuchet MS" w:hAnsi="Trebuchet MS" w:cs="Times New Roman"/>
        <w:b/>
        <w:color w:val="0070C0"/>
        <w:sz w:val="20"/>
        <w:szCs w:val="20"/>
      </w:rPr>
      <w:t>3</w:t>
    </w:r>
    <w:r w:rsidRPr="009F6778">
      <w:rPr>
        <w:rFonts w:ascii="Trebuchet MS" w:hAnsi="Trebuchet MS" w:cs="Times New Roman"/>
        <w:b/>
        <w:color w:val="0070C0"/>
        <w:sz w:val="20"/>
        <w:szCs w:val="20"/>
      </w:rPr>
      <w:t>, Issue-</w:t>
    </w:r>
    <w:r w:rsidR="00F2111D" w:rsidRPr="009F6778">
      <w:rPr>
        <w:rFonts w:ascii="Trebuchet MS" w:hAnsi="Trebuchet MS" w:cs="Times New Roman"/>
        <w:b/>
        <w:color w:val="0070C0"/>
        <w:sz w:val="20"/>
        <w:szCs w:val="20"/>
      </w:rPr>
      <w:t>2</w:t>
    </w:r>
    <w:r w:rsidRPr="009F6778">
      <w:rPr>
        <w:rFonts w:ascii="Trebuchet MS" w:hAnsi="Trebuchet MS" w:cs="Times New Roman"/>
        <w:b/>
        <w:color w:val="0070C0"/>
        <w:sz w:val="20"/>
        <w:szCs w:val="20"/>
      </w:rPr>
      <w:t>_Page_</w:t>
    </w:r>
    <w:r w:rsidR="00D03FA6" w:rsidRPr="009F6778">
      <w:rPr>
        <w:rFonts w:ascii="Trebuchet MS" w:hAnsi="Trebuchet MS" w:cs="Times New Roman"/>
        <w:b/>
        <w:color w:val="0070C0"/>
        <w:sz w:val="20"/>
        <w:szCs w:val="20"/>
      </w:rPr>
      <w:t>1</w:t>
    </w:r>
    <w:r w:rsidRPr="009F6778">
      <w:rPr>
        <w:rFonts w:ascii="Trebuchet MS" w:hAnsi="Trebuchet MS" w:cs="Times New Roman"/>
        <w:b/>
        <w:color w:val="0070C0"/>
        <w:sz w:val="20"/>
        <w:szCs w:val="20"/>
      </w:rPr>
      <w:t>-0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48B"/>
    <w:multiLevelType w:val="multilevel"/>
    <w:tmpl w:val="5368583E"/>
    <w:lvl w:ilvl="0">
      <w:start w:val="1"/>
      <w:numFmt w:val="decimal"/>
      <w:lvlText w:val="%1."/>
      <w:lvlJc w:val="left"/>
      <w:pPr>
        <w:ind w:left="376" w:hanging="245"/>
      </w:pPr>
      <w:rPr>
        <w:rFonts w:ascii="Cambria" w:eastAsia="Cambria" w:hAnsi="Cambria" w:cs="Cambria" w:hint="default"/>
        <w:b/>
        <w:bCs/>
        <w:w w:val="109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7" w:hanging="367"/>
      </w:pPr>
      <w:rPr>
        <w:rFonts w:ascii="Georgia" w:eastAsia="Georgia" w:hAnsi="Georgia" w:cs="Georgia" w:hint="default"/>
        <w:i/>
        <w:iCs/>
        <w:w w:val="108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021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3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64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6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7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29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50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0C886785"/>
    <w:multiLevelType w:val="multilevel"/>
    <w:tmpl w:val="348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47F6"/>
    <w:multiLevelType w:val="multilevel"/>
    <w:tmpl w:val="D41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84C21"/>
    <w:multiLevelType w:val="multilevel"/>
    <w:tmpl w:val="C30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44AA6"/>
    <w:multiLevelType w:val="multilevel"/>
    <w:tmpl w:val="0E7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756EF"/>
    <w:multiLevelType w:val="hybridMultilevel"/>
    <w:tmpl w:val="CC52FA0E"/>
    <w:lvl w:ilvl="0" w:tplc="4009000F">
      <w:start w:val="1"/>
      <w:numFmt w:val="decimal"/>
      <w:lvlText w:val="%1."/>
      <w:lvlJc w:val="left"/>
      <w:pPr>
        <w:ind w:left="919" w:hanging="360"/>
      </w:pPr>
    </w:lvl>
    <w:lvl w:ilvl="1" w:tplc="73865226">
      <w:start w:val="1"/>
      <w:numFmt w:val="upperLetter"/>
      <w:lvlText w:val="%2."/>
      <w:lvlJc w:val="left"/>
      <w:pPr>
        <w:ind w:left="1639" w:hanging="360"/>
      </w:pPr>
      <w:rPr>
        <w:rFonts w:hint="default"/>
        <w:color w:val="0000FF" w:themeColor="hyperlink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2359" w:hanging="180"/>
      </w:pPr>
    </w:lvl>
    <w:lvl w:ilvl="3" w:tplc="4009000F" w:tentative="1">
      <w:start w:val="1"/>
      <w:numFmt w:val="decimal"/>
      <w:lvlText w:val="%4."/>
      <w:lvlJc w:val="left"/>
      <w:pPr>
        <w:ind w:left="3079" w:hanging="360"/>
      </w:pPr>
    </w:lvl>
    <w:lvl w:ilvl="4" w:tplc="40090019" w:tentative="1">
      <w:start w:val="1"/>
      <w:numFmt w:val="lowerLetter"/>
      <w:lvlText w:val="%5."/>
      <w:lvlJc w:val="left"/>
      <w:pPr>
        <w:ind w:left="3799" w:hanging="360"/>
      </w:pPr>
    </w:lvl>
    <w:lvl w:ilvl="5" w:tplc="4009001B" w:tentative="1">
      <w:start w:val="1"/>
      <w:numFmt w:val="lowerRoman"/>
      <w:lvlText w:val="%6."/>
      <w:lvlJc w:val="right"/>
      <w:pPr>
        <w:ind w:left="4519" w:hanging="180"/>
      </w:pPr>
    </w:lvl>
    <w:lvl w:ilvl="6" w:tplc="4009000F" w:tentative="1">
      <w:start w:val="1"/>
      <w:numFmt w:val="decimal"/>
      <w:lvlText w:val="%7."/>
      <w:lvlJc w:val="left"/>
      <w:pPr>
        <w:ind w:left="5239" w:hanging="360"/>
      </w:pPr>
    </w:lvl>
    <w:lvl w:ilvl="7" w:tplc="40090019" w:tentative="1">
      <w:start w:val="1"/>
      <w:numFmt w:val="lowerLetter"/>
      <w:lvlText w:val="%8."/>
      <w:lvlJc w:val="left"/>
      <w:pPr>
        <w:ind w:left="5959" w:hanging="360"/>
      </w:pPr>
    </w:lvl>
    <w:lvl w:ilvl="8" w:tplc="40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5FA91FED"/>
    <w:multiLevelType w:val="multilevel"/>
    <w:tmpl w:val="184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C4B91"/>
    <w:multiLevelType w:val="multilevel"/>
    <w:tmpl w:val="575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20BF0"/>
    <w:multiLevelType w:val="hybridMultilevel"/>
    <w:tmpl w:val="3CE21BBE"/>
    <w:lvl w:ilvl="0" w:tplc="B0B248E6">
      <w:start w:val="1"/>
      <w:numFmt w:val="decimal"/>
      <w:lvlText w:val="[%1]"/>
      <w:lvlJc w:val="left"/>
      <w:pPr>
        <w:ind w:left="459" w:hanging="260"/>
        <w:jc w:val="right"/>
      </w:pPr>
      <w:rPr>
        <w:rFonts w:ascii="Cambria" w:eastAsia="Cambria" w:hAnsi="Cambria" w:cs="Cambria" w:hint="default"/>
        <w:w w:val="119"/>
        <w:sz w:val="12"/>
        <w:szCs w:val="12"/>
        <w:lang w:val="en-US" w:eastAsia="en-US" w:bidi="ar-SA"/>
      </w:rPr>
    </w:lvl>
    <w:lvl w:ilvl="1" w:tplc="02BE8B86">
      <w:numFmt w:val="bullet"/>
      <w:lvlText w:val="•"/>
      <w:lvlJc w:val="left"/>
      <w:pPr>
        <w:ind w:left="395" w:hanging="260"/>
      </w:pPr>
      <w:rPr>
        <w:rFonts w:hint="default"/>
        <w:lang w:val="en-US" w:eastAsia="en-US" w:bidi="ar-SA"/>
      </w:rPr>
    </w:lvl>
    <w:lvl w:ilvl="2" w:tplc="0C86EE0C">
      <w:numFmt w:val="bullet"/>
      <w:lvlText w:val="•"/>
      <w:lvlJc w:val="left"/>
      <w:pPr>
        <w:ind w:left="330" w:hanging="260"/>
      </w:pPr>
      <w:rPr>
        <w:rFonts w:hint="default"/>
        <w:lang w:val="en-US" w:eastAsia="en-US" w:bidi="ar-SA"/>
      </w:rPr>
    </w:lvl>
    <w:lvl w:ilvl="3" w:tplc="E20C9F82">
      <w:numFmt w:val="bullet"/>
      <w:lvlText w:val="•"/>
      <w:lvlJc w:val="left"/>
      <w:pPr>
        <w:ind w:left="266" w:hanging="260"/>
      </w:pPr>
      <w:rPr>
        <w:rFonts w:hint="default"/>
        <w:lang w:val="en-US" w:eastAsia="en-US" w:bidi="ar-SA"/>
      </w:rPr>
    </w:lvl>
    <w:lvl w:ilvl="4" w:tplc="E49CF064">
      <w:numFmt w:val="bullet"/>
      <w:lvlText w:val="•"/>
      <w:lvlJc w:val="left"/>
      <w:pPr>
        <w:ind w:left="201" w:hanging="260"/>
      </w:pPr>
      <w:rPr>
        <w:rFonts w:hint="default"/>
        <w:lang w:val="en-US" w:eastAsia="en-US" w:bidi="ar-SA"/>
      </w:rPr>
    </w:lvl>
    <w:lvl w:ilvl="5" w:tplc="DD583746">
      <w:numFmt w:val="bullet"/>
      <w:lvlText w:val="•"/>
      <w:lvlJc w:val="left"/>
      <w:pPr>
        <w:ind w:left="136" w:hanging="260"/>
      </w:pPr>
      <w:rPr>
        <w:rFonts w:hint="default"/>
        <w:lang w:val="en-US" w:eastAsia="en-US" w:bidi="ar-SA"/>
      </w:rPr>
    </w:lvl>
    <w:lvl w:ilvl="6" w:tplc="F88A9182">
      <w:numFmt w:val="bullet"/>
      <w:lvlText w:val="•"/>
      <w:lvlJc w:val="left"/>
      <w:pPr>
        <w:ind w:left="72" w:hanging="260"/>
      </w:pPr>
      <w:rPr>
        <w:rFonts w:hint="default"/>
        <w:lang w:val="en-US" w:eastAsia="en-US" w:bidi="ar-SA"/>
      </w:rPr>
    </w:lvl>
    <w:lvl w:ilvl="7" w:tplc="C9D0EB38">
      <w:numFmt w:val="bullet"/>
      <w:lvlText w:val="•"/>
      <w:lvlJc w:val="left"/>
      <w:pPr>
        <w:ind w:left="7" w:hanging="260"/>
      </w:pPr>
      <w:rPr>
        <w:rFonts w:hint="default"/>
        <w:lang w:val="en-US" w:eastAsia="en-US" w:bidi="ar-SA"/>
      </w:rPr>
    </w:lvl>
    <w:lvl w:ilvl="8" w:tplc="63E00212">
      <w:numFmt w:val="bullet"/>
      <w:lvlText w:val="•"/>
      <w:lvlJc w:val="left"/>
      <w:pPr>
        <w:ind w:left="-58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7C8D76CF"/>
    <w:multiLevelType w:val="multilevel"/>
    <w:tmpl w:val="5E4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627931">
    <w:abstractNumId w:val="8"/>
  </w:num>
  <w:num w:numId="2" w16cid:durableId="250434326">
    <w:abstractNumId w:val="0"/>
  </w:num>
  <w:num w:numId="3" w16cid:durableId="1102333243">
    <w:abstractNumId w:val="6"/>
  </w:num>
  <w:num w:numId="4" w16cid:durableId="187179882">
    <w:abstractNumId w:val="3"/>
  </w:num>
  <w:num w:numId="5" w16cid:durableId="1735003958">
    <w:abstractNumId w:val="2"/>
  </w:num>
  <w:num w:numId="6" w16cid:durableId="518399738">
    <w:abstractNumId w:val="7"/>
  </w:num>
  <w:num w:numId="7" w16cid:durableId="589047318">
    <w:abstractNumId w:val="9"/>
  </w:num>
  <w:num w:numId="8" w16cid:durableId="1057708019">
    <w:abstractNumId w:val="1"/>
  </w:num>
  <w:num w:numId="9" w16cid:durableId="913587742">
    <w:abstractNumId w:val="4"/>
  </w:num>
  <w:num w:numId="10" w16cid:durableId="202605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0F3"/>
    <w:rsid w:val="00022736"/>
    <w:rsid w:val="00045C3E"/>
    <w:rsid w:val="000956B8"/>
    <w:rsid w:val="000C61D2"/>
    <w:rsid w:val="000D0707"/>
    <w:rsid w:val="000D7945"/>
    <w:rsid w:val="001616C3"/>
    <w:rsid w:val="002821AE"/>
    <w:rsid w:val="002E4F77"/>
    <w:rsid w:val="00311A23"/>
    <w:rsid w:val="00321C4B"/>
    <w:rsid w:val="003259E8"/>
    <w:rsid w:val="00335657"/>
    <w:rsid w:val="00384C1A"/>
    <w:rsid w:val="003E0D4E"/>
    <w:rsid w:val="004277B9"/>
    <w:rsid w:val="0043565E"/>
    <w:rsid w:val="004400D1"/>
    <w:rsid w:val="00476232"/>
    <w:rsid w:val="004B6EFA"/>
    <w:rsid w:val="004C44CE"/>
    <w:rsid w:val="004D5C95"/>
    <w:rsid w:val="00524EDF"/>
    <w:rsid w:val="005306D9"/>
    <w:rsid w:val="005D37AD"/>
    <w:rsid w:val="00693391"/>
    <w:rsid w:val="00697EE2"/>
    <w:rsid w:val="006C0538"/>
    <w:rsid w:val="007223B4"/>
    <w:rsid w:val="007360F3"/>
    <w:rsid w:val="00742F4D"/>
    <w:rsid w:val="00791199"/>
    <w:rsid w:val="007C2BC7"/>
    <w:rsid w:val="007C7AF5"/>
    <w:rsid w:val="008127D9"/>
    <w:rsid w:val="008357B6"/>
    <w:rsid w:val="00905092"/>
    <w:rsid w:val="00950429"/>
    <w:rsid w:val="0096198F"/>
    <w:rsid w:val="009B645E"/>
    <w:rsid w:val="009E55A1"/>
    <w:rsid w:val="009F6778"/>
    <w:rsid w:val="00A157E3"/>
    <w:rsid w:val="00AA6A68"/>
    <w:rsid w:val="00AD2FEC"/>
    <w:rsid w:val="00AD71AA"/>
    <w:rsid w:val="00BA07F0"/>
    <w:rsid w:val="00BB372A"/>
    <w:rsid w:val="00BB43F8"/>
    <w:rsid w:val="00BC2ED6"/>
    <w:rsid w:val="00BD3DB0"/>
    <w:rsid w:val="00C227A0"/>
    <w:rsid w:val="00C36591"/>
    <w:rsid w:val="00C86DE3"/>
    <w:rsid w:val="00CA27B2"/>
    <w:rsid w:val="00CB7789"/>
    <w:rsid w:val="00D03FA6"/>
    <w:rsid w:val="00D201DA"/>
    <w:rsid w:val="00D3210D"/>
    <w:rsid w:val="00E23266"/>
    <w:rsid w:val="00E40DF6"/>
    <w:rsid w:val="00E42EA4"/>
    <w:rsid w:val="00EA093D"/>
    <w:rsid w:val="00EB380D"/>
    <w:rsid w:val="00F14407"/>
    <w:rsid w:val="00F2111D"/>
    <w:rsid w:val="00F53C52"/>
    <w:rsid w:val="00F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44F3"/>
  <w15:docId w15:val="{5C0F49DE-5D60-44B1-826F-C3E53AE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16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376" w:hanging="24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1"/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62" w:right="176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2" w:hanging="3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B7789"/>
    <w:rPr>
      <w:rFonts w:ascii="Cambria" w:eastAsia="Cambria" w:hAnsi="Cambria" w:cs="Cambri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7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B7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789"/>
    <w:rPr>
      <w:rFonts w:ascii="Cambria" w:eastAsia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CB7789"/>
  </w:style>
  <w:style w:type="paragraph" w:styleId="NormalWeb">
    <w:name w:val="Normal (Web)"/>
    <w:basedOn w:val="Normal"/>
    <w:uiPriority w:val="99"/>
    <w:semiHidden/>
    <w:unhideWhenUsed/>
    <w:rsid w:val="004C44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.%20Tian,%20B.%20Zheng,%20R.%20Zhang,%20S.%20Mu,%20H.%20Wang,%20Blockchain-based%20shared%20audit%20service%20for%20supply%20chains,%20Procedia%20Comput.%20Sci.%20159%20(2019)%20305&#8211;311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innovative electrochemical platform based on graphene for rapid screening of cancer drugs in blood plasma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innovative electrochemical platform based on graphene for rapid screening of cancer drugs in blood plasma</dc:title>
  <dc:subject>Alexandria Engineering Journal, 108 (2024) 1-12. doi:10.1016/j.aej.2024.07.057</dc:subject>
  <dc:creator>Haolin Guo</dc:creator>
  <cp:keywords>Cancer Drugs,Epirubicin,Graphene,ZnO nanoparticle,Nanocomposite,Biosensor</cp:keywords>
  <cp:lastModifiedBy>Bali  Maths</cp:lastModifiedBy>
  <cp:revision>24</cp:revision>
  <dcterms:created xsi:type="dcterms:W3CDTF">2024-07-31T17:57:00Z</dcterms:created>
  <dcterms:modified xsi:type="dcterms:W3CDTF">2025-05-21T17:25:00Z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Elsevier</vt:lpwstr>
  </property>
  <property fmtid="{D5CDD505-2E9C-101B-9397-08002B2CF9AE}" pid="4" name="LastSaved">
    <vt:filetime>2024-07-31T00:00:00Z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2024-08-06T11:36:23Z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49a05ebb-2dc9-40c9-b964-a2dd1036ed38</vt:lpwstr>
  </property>
  <property fmtid="{D5CDD505-2E9C-101B-9397-08002B2CF9AE}" pid="10" name="MSIP_Label_defa4170-0d19-0005-0004-bc88714345d2_ActionId">
    <vt:lpwstr>f7e6a3f8-e527-4e56-b955-66fb46610cfc</vt:lpwstr>
  </property>
  <property fmtid="{D5CDD505-2E9C-101B-9397-08002B2CF9AE}" pid="11" name="MSIP_Label_defa4170-0d19-0005-0004-bc88714345d2_ContentBits">
    <vt:lpwstr>0</vt:lpwstr>
  </property>
</Properties>
</file>